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8FE" w:rsidRPr="006248FE" w:rsidRDefault="006248FE" w:rsidP="006248FE">
      <w:pPr>
        <w:spacing w:after="0" w:line="240" w:lineRule="auto"/>
        <w:rPr>
          <w:rFonts w:ascii="Arial" w:hAnsi="Arial" w:cs="Arial"/>
        </w:rPr>
      </w:pPr>
    </w:p>
    <w:p w:rsidR="006248FE" w:rsidRPr="006248FE" w:rsidRDefault="006248FE" w:rsidP="006248FE">
      <w:pPr>
        <w:spacing w:after="0" w:line="240" w:lineRule="auto"/>
        <w:jc w:val="center"/>
        <w:rPr>
          <w:rFonts w:ascii="Arial" w:hAnsi="Arial" w:cs="Arial"/>
          <w:b/>
          <w:sz w:val="24"/>
        </w:rPr>
      </w:pPr>
      <w:r w:rsidRPr="006248FE">
        <w:rPr>
          <w:rFonts w:ascii="Arial" w:hAnsi="Arial" w:cs="Arial"/>
          <w:b/>
          <w:sz w:val="24"/>
        </w:rPr>
        <w:t>PROCESS FOR APPLYING FOR RIF FUNDING</w:t>
      </w:r>
    </w:p>
    <w:p w:rsidR="006248FE" w:rsidRPr="006248FE" w:rsidRDefault="006248FE" w:rsidP="006248FE">
      <w:pPr>
        <w:spacing w:after="0" w:line="240" w:lineRule="auto"/>
        <w:jc w:val="center"/>
        <w:rPr>
          <w:rFonts w:ascii="Arial" w:hAnsi="Arial" w:cs="Arial"/>
          <w:b/>
          <w:sz w:val="24"/>
        </w:rPr>
      </w:pPr>
      <w:r w:rsidRPr="006248FE">
        <w:rPr>
          <w:rFonts w:ascii="Arial" w:hAnsi="Arial" w:cs="Arial"/>
          <w:b/>
          <w:sz w:val="24"/>
        </w:rPr>
        <w:t>CONWY AND DENBIGHSHIRE</w:t>
      </w:r>
    </w:p>
    <w:p w:rsidR="006248FE" w:rsidRPr="006248FE" w:rsidRDefault="006248FE" w:rsidP="006248FE">
      <w:pPr>
        <w:spacing w:after="0" w:line="240" w:lineRule="auto"/>
        <w:rPr>
          <w:rFonts w:ascii="Arial" w:hAnsi="Arial" w:cs="Arial"/>
          <w:sz w:val="24"/>
        </w:rPr>
      </w:pPr>
    </w:p>
    <w:p w:rsidR="006248FE" w:rsidRPr="006248FE" w:rsidRDefault="006248FE" w:rsidP="006248FE">
      <w:pPr>
        <w:spacing w:after="0" w:line="240" w:lineRule="auto"/>
        <w:rPr>
          <w:rFonts w:ascii="Arial" w:hAnsi="Arial" w:cs="Arial"/>
          <w:sz w:val="24"/>
        </w:rPr>
      </w:pPr>
      <w:r w:rsidRPr="006248FE">
        <w:rPr>
          <w:rFonts w:ascii="Arial" w:hAnsi="Arial" w:cs="Arial"/>
          <w:sz w:val="24"/>
        </w:rPr>
        <w:t>The following process should be followed to apply for RIF funding for either expanding existing projects or developing new proposals:</w:t>
      </w:r>
    </w:p>
    <w:p w:rsidR="006248FE" w:rsidRPr="006248FE" w:rsidRDefault="006248FE" w:rsidP="006248FE">
      <w:pPr>
        <w:spacing w:after="0" w:line="240" w:lineRule="auto"/>
        <w:rPr>
          <w:rFonts w:ascii="Arial" w:hAnsi="Arial" w:cs="Arial"/>
          <w:sz w:val="24"/>
        </w:rPr>
      </w:pPr>
    </w:p>
    <w:p w:rsidR="006248FE" w:rsidRPr="006248FE" w:rsidRDefault="006248FE" w:rsidP="006248FE">
      <w:pPr>
        <w:spacing w:after="0" w:line="240" w:lineRule="auto"/>
        <w:rPr>
          <w:rFonts w:ascii="Arial" w:hAnsi="Arial" w:cs="Arial"/>
          <w:i/>
          <w:sz w:val="24"/>
        </w:rPr>
      </w:pPr>
      <w:r w:rsidRPr="006248FE">
        <w:rPr>
          <w:rFonts w:ascii="Arial" w:hAnsi="Arial" w:cs="Arial"/>
          <w:i/>
          <w:sz w:val="24"/>
        </w:rPr>
        <w:t>We recommend that you review the attached Health and Social Care Regional Integration Fund Guidance 2022-23 Guidance criteria from Welsh Government.</w:t>
      </w:r>
    </w:p>
    <w:p w:rsidR="006248FE" w:rsidRPr="006248FE" w:rsidRDefault="006248FE" w:rsidP="006248FE">
      <w:pPr>
        <w:spacing w:after="0" w:line="240" w:lineRule="auto"/>
        <w:rPr>
          <w:rFonts w:ascii="Arial" w:hAnsi="Arial" w:cs="Arial"/>
          <w:sz w:val="24"/>
        </w:rPr>
      </w:pPr>
    </w:p>
    <w:p w:rsidR="006248FE" w:rsidRPr="006248FE" w:rsidRDefault="006248FE" w:rsidP="006248FE">
      <w:pPr>
        <w:spacing w:after="0" w:line="240" w:lineRule="auto"/>
        <w:rPr>
          <w:rFonts w:ascii="Arial" w:hAnsi="Arial" w:cs="Arial"/>
          <w:sz w:val="24"/>
        </w:rPr>
      </w:pPr>
      <w:r w:rsidRPr="006248FE">
        <w:rPr>
          <w:rFonts w:ascii="Arial" w:hAnsi="Arial" w:cs="Arial"/>
          <w:b/>
          <w:sz w:val="24"/>
        </w:rPr>
        <w:t>Existing projects</w:t>
      </w:r>
      <w:r w:rsidRPr="006248FE">
        <w:rPr>
          <w:rFonts w:ascii="Arial" w:hAnsi="Arial" w:cs="Arial"/>
          <w:sz w:val="24"/>
        </w:rPr>
        <w:t xml:space="preserve">  </w:t>
      </w:r>
    </w:p>
    <w:p w:rsidR="006248FE" w:rsidRPr="006248FE" w:rsidRDefault="006248FE" w:rsidP="006248FE">
      <w:pPr>
        <w:spacing w:after="0" w:line="240" w:lineRule="auto"/>
        <w:rPr>
          <w:rFonts w:ascii="Arial" w:hAnsi="Arial" w:cs="Arial"/>
          <w:sz w:val="24"/>
        </w:rPr>
      </w:pPr>
    </w:p>
    <w:p w:rsidR="006248FE" w:rsidRPr="006248FE" w:rsidRDefault="006248FE" w:rsidP="006248FE">
      <w:pPr>
        <w:spacing w:after="0" w:line="240" w:lineRule="auto"/>
        <w:ind w:left="720"/>
        <w:rPr>
          <w:rFonts w:ascii="Arial" w:hAnsi="Arial" w:cs="Arial"/>
          <w:sz w:val="24"/>
        </w:rPr>
      </w:pPr>
      <w:r w:rsidRPr="006248FE">
        <w:rPr>
          <w:rFonts w:ascii="Arial" w:hAnsi="Arial" w:cs="Arial"/>
          <w:sz w:val="24"/>
        </w:rPr>
        <w:t>Existing Project Investment Proposals can be updated to reflect the</w:t>
      </w:r>
      <w:r w:rsidR="00E63F78">
        <w:rPr>
          <w:rFonts w:ascii="Arial" w:hAnsi="Arial" w:cs="Arial"/>
          <w:sz w:val="24"/>
        </w:rPr>
        <w:t>ir</w:t>
      </w:r>
      <w:r w:rsidRPr="006248FE">
        <w:rPr>
          <w:rFonts w:ascii="Arial" w:hAnsi="Arial" w:cs="Arial"/>
          <w:sz w:val="24"/>
        </w:rPr>
        <w:t xml:space="preserve"> </w:t>
      </w:r>
      <w:r>
        <w:rPr>
          <w:rFonts w:ascii="Arial" w:hAnsi="Arial" w:cs="Arial"/>
          <w:sz w:val="24"/>
        </w:rPr>
        <w:t xml:space="preserve">additional or expansion proposals. </w:t>
      </w:r>
      <w:r w:rsidRPr="006248FE">
        <w:rPr>
          <w:rFonts w:ascii="Arial" w:hAnsi="Arial" w:cs="Arial"/>
          <w:sz w:val="24"/>
        </w:rPr>
        <w:t xml:space="preserve">It should be clear within the PIP which are the new elements over and above existing arrangements.  </w:t>
      </w:r>
    </w:p>
    <w:p w:rsidR="006248FE" w:rsidRPr="006248FE" w:rsidRDefault="006248FE" w:rsidP="006248FE">
      <w:pPr>
        <w:spacing w:after="0" w:line="240" w:lineRule="auto"/>
        <w:rPr>
          <w:rFonts w:ascii="Arial" w:hAnsi="Arial" w:cs="Arial"/>
          <w:sz w:val="24"/>
        </w:rPr>
      </w:pPr>
    </w:p>
    <w:p w:rsidR="006248FE" w:rsidRPr="006248FE" w:rsidRDefault="006248FE" w:rsidP="006248FE">
      <w:pPr>
        <w:spacing w:after="0" w:line="240" w:lineRule="auto"/>
        <w:rPr>
          <w:rFonts w:ascii="Arial" w:hAnsi="Arial" w:cs="Arial"/>
          <w:sz w:val="24"/>
        </w:rPr>
      </w:pPr>
      <w:r w:rsidRPr="006248FE">
        <w:rPr>
          <w:rFonts w:ascii="Arial" w:hAnsi="Arial" w:cs="Arial"/>
          <w:b/>
          <w:sz w:val="24"/>
        </w:rPr>
        <w:t xml:space="preserve">New </w:t>
      </w:r>
      <w:proofErr w:type="gramStart"/>
      <w:r w:rsidRPr="006248FE">
        <w:rPr>
          <w:rFonts w:ascii="Arial" w:hAnsi="Arial" w:cs="Arial"/>
          <w:b/>
          <w:sz w:val="24"/>
        </w:rPr>
        <w:t>RIF</w:t>
      </w:r>
      <w:proofErr w:type="gramEnd"/>
      <w:r w:rsidRPr="006248FE">
        <w:rPr>
          <w:rFonts w:ascii="Arial" w:hAnsi="Arial" w:cs="Arial"/>
          <w:b/>
          <w:sz w:val="24"/>
        </w:rPr>
        <w:t xml:space="preserve"> projects</w:t>
      </w:r>
      <w:r w:rsidRPr="006248FE">
        <w:rPr>
          <w:rFonts w:ascii="Arial" w:hAnsi="Arial" w:cs="Arial"/>
          <w:sz w:val="24"/>
        </w:rPr>
        <w:t xml:space="preserve">  </w:t>
      </w:r>
    </w:p>
    <w:p w:rsidR="006248FE" w:rsidRPr="006248FE" w:rsidRDefault="006248FE" w:rsidP="006248FE">
      <w:pPr>
        <w:spacing w:after="0" w:line="240" w:lineRule="auto"/>
        <w:rPr>
          <w:rFonts w:ascii="Arial" w:hAnsi="Arial" w:cs="Arial"/>
          <w:sz w:val="24"/>
        </w:rPr>
      </w:pPr>
    </w:p>
    <w:p w:rsidR="006248FE" w:rsidRPr="006248FE" w:rsidRDefault="006248FE" w:rsidP="006248FE">
      <w:pPr>
        <w:spacing w:after="0" w:line="240" w:lineRule="auto"/>
        <w:ind w:firstLine="720"/>
        <w:rPr>
          <w:rFonts w:ascii="Arial" w:hAnsi="Arial" w:cs="Arial"/>
          <w:sz w:val="24"/>
        </w:rPr>
      </w:pPr>
      <w:r w:rsidRPr="006248FE">
        <w:rPr>
          <w:rFonts w:ascii="Arial" w:hAnsi="Arial" w:cs="Arial"/>
          <w:sz w:val="24"/>
        </w:rPr>
        <w:t>You must complete a Project Investment Proposal Template.</w:t>
      </w:r>
    </w:p>
    <w:p w:rsidR="006248FE" w:rsidRPr="006248FE" w:rsidRDefault="006248FE" w:rsidP="006248FE">
      <w:pPr>
        <w:spacing w:after="0" w:line="240" w:lineRule="auto"/>
        <w:rPr>
          <w:rFonts w:ascii="Arial" w:hAnsi="Arial" w:cs="Arial"/>
          <w:sz w:val="24"/>
        </w:rPr>
      </w:pPr>
    </w:p>
    <w:p w:rsidR="006248FE" w:rsidRPr="006248FE" w:rsidRDefault="006248FE" w:rsidP="006248FE">
      <w:pPr>
        <w:spacing w:after="0" w:line="240" w:lineRule="auto"/>
        <w:rPr>
          <w:rFonts w:ascii="Arial" w:hAnsi="Arial" w:cs="Arial"/>
          <w:sz w:val="24"/>
        </w:rPr>
      </w:pPr>
      <w:r w:rsidRPr="006248FE">
        <w:rPr>
          <w:rFonts w:ascii="Arial" w:hAnsi="Arial" w:cs="Arial"/>
          <w:sz w:val="24"/>
        </w:rPr>
        <w:t xml:space="preserve">In both cases, the outline draft </w:t>
      </w:r>
      <w:r w:rsidRPr="006248FE">
        <w:rPr>
          <w:rFonts w:ascii="Arial" w:hAnsi="Arial" w:cs="Arial"/>
          <w:sz w:val="24"/>
          <w:u w:val="single"/>
        </w:rPr>
        <w:t>must contain sufficient information</w:t>
      </w:r>
      <w:r w:rsidRPr="006248FE">
        <w:rPr>
          <w:rFonts w:ascii="Arial" w:hAnsi="Arial" w:cs="Arial"/>
          <w:sz w:val="24"/>
        </w:rPr>
        <w:t xml:space="preserve"> in terms of </w:t>
      </w:r>
      <w:r w:rsidRPr="006248FE">
        <w:rPr>
          <w:rFonts w:ascii="Arial" w:hAnsi="Arial" w:cs="Arial"/>
          <w:color w:val="0070C0"/>
          <w:sz w:val="24"/>
        </w:rPr>
        <w:t>scope</w:t>
      </w:r>
      <w:r w:rsidRPr="006248FE">
        <w:rPr>
          <w:rFonts w:ascii="Arial" w:hAnsi="Arial" w:cs="Arial"/>
          <w:sz w:val="24"/>
        </w:rPr>
        <w:t xml:space="preserve">, </w:t>
      </w:r>
      <w:r w:rsidR="00FC0B6B">
        <w:rPr>
          <w:rFonts w:ascii="Arial" w:hAnsi="Arial" w:cs="Arial"/>
          <w:color w:val="0070C0"/>
          <w:sz w:val="24"/>
        </w:rPr>
        <w:t>alignment to AISB priorities</w:t>
      </w:r>
      <w:r w:rsidRPr="006248FE">
        <w:rPr>
          <w:rFonts w:ascii="Arial" w:hAnsi="Arial" w:cs="Arial"/>
          <w:sz w:val="24"/>
        </w:rPr>
        <w:t>,</w:t>
      </w:r>
      <w:r w:rsidR="00FC0B6B">
        <w:rPr>
          <w:rFonts w:ascii="Arial" w:hAnsi="Arial" w:cs="Arial"/>
          <w:sz w:val="24"/>
        </w:rPr>
        <w:t xml:space="preserve"> </w:t>
      </w:r>
      <w:r w:rsidR="00FC0B6B">
        <w:rPr>
          <w:rFonts w:ascii="Arial" w:hAnsi="Arial" w:cs="Arial"/>
          <w:color w:val="0070C0"/>
          <w:sz w:val="24"/>
        </w:rPr>
        <w:t>the a</w:t>
      </w:r>
      <w:r w:rsidRPr="006248FE">
        <w:rPr>
          <w:rFonts w:ascii="Arial" w:hAnsi="Arial" w:cs="Arial"/>
          <w:color w:val="0070C0"/>
          <w:sz w:val="24"/>
        </w:rPr>
        <w:t>mount</w:t>
      </w:r>
      <w:r w:rsidRPr="006248FE">
        <w:rPr>
          <w:rFonts w:ascii="Arial" w:hAnsi="Arial" w:cs="Arial"/>
          <w:sz w:val="24"/>
        </w:rPr>
        <w:t xml:space="preserve"> being sought, as well as how you propose to ‘</w:t>
      </w:r>
      <w:r w:rsidRPr="006248FE">
        <w:rPr>
          <w:rFonts w:ascii="Arial" w:hAnsi="Arial" w:cs="Arial"/>
          <w:color w:val="0070C0"/>
          <w:sz w:val="24"/>
        </w:rPr>
        <w:t>match fund</w:t>
      </w:r>
      <w:r w:rsidRPr="006248FE">
        <w:rPr>
          <w:rFonts w:ascii="Arial" w:hAnsi="Arial" w:cs="Arial"/>
          <w:sz w:val="24"/>
        </w:rPr>
        <w:t>’</w:t>
      </w:r>
      <w:r w:rsidRPr="006248FE">
        <w:rPr>
          <w:rFonts w:ascii="Arial" w:hAnsi="Arial" w:cs="Arial"/>
          <w:sz w:val="24"/>
          <w:vertAlign w:val="superscript"/>
        </w:rPr>
        <w:footnoteReference w:id="1"/>
      </w:r>
      <w:r w:rsidRPr="006248FE">
        <w:rPr>
          <w:rFonts w:ascii="Arial" w:hAnsi="Arial" w:cs="Arial"/>
          <w:sz w:val="24"/>
        </w:rPr>
        <w:t xml:space="preserve"> (pages 30-32 in Guidance), to enable AISB to make an informed decision on whether to support the proposal. </w:t>
      </w:r>
    </w:p>
    <w:p w:rsidR="006248FE" w:rsidRPr="006248FE" w:rsidRDefault="006248FE" w:rsidP="006248FE">
      <w:pPr>
        <w:spacing w:after="0" w:line="240" w:lineRule="auto"/>
        <w:rPr>
          <w:rFonts w:ascii="Arial" w:hAnsi="Arial" w:cs="Arial"/>
          <w:sz w:val="24"/>
        </w:rPr>
      </w:pPr>
    </w:p>
    <w:p w:rsidR="006248FE" w:rsidRPr="006248FE" w:rsidRDefault="006248FE" w:rsidP="006248FE">
      <w:pPr>
        <w:spacing w:after="0" w:line="240" w:lineRule="auto"/>
        <w:rPr>
          <w:rFonts w:ascii="Arial" w:hAnsi="Arial" w:cs="Arial"/>
          <w:sz w:val="24"/>
        </w:rPr>
      </w:pPr>
      <w:r w:rsidRPr="006248FE">
        <w:rPr>
          <w:rFonts w:ascii="Arial" w:hAnsi="Arial" w:cs="Arial"/>
          <w:sz w:val="24"/>
        </w:rPr>
        <w:t>Outline drafts need to be s</w:t>
      </w:r>
      <w:r>
        <w:rPr>
          <w:rFonts w:ascii="Arial" w:hAnsi="Arial" w:cs="Arial"/>
          <w:sz w:val="24"/>
        </w:rPr>
        <w:t xml:space="preserve">ubmitted to Llewelyn Davies at: </w:t>
      </w:r>
      <w:hyperlink r:id="rId7" w:history="1">
        <w:r w:rsidRPr="001B3321">
          <w:rPr>
            <w:rStyle w:val="Hyperlink"/>
            <w:rFonts w:ascii="Arial" w:hAnsi="Arial" w:cs="Arial"/>
            <w:sz w:val="24"/>
          </w:rPr>
          <w:t>Llewelyn.Davies2@wales.nhs.uk</w:t>
        </w:r>
      </w:hyperlink>
      <w:r>
        <w:rPr>
          <w:rFonts w:ascii="Arial" w:hAnsi="Arial" w:cs="Arial"/>
          <w:sz w:val="24"/>
        </w:rPr>
        <w:t xml:space="preserve"> </w:t>
      </w:r>
      <w:r w:rsidRPr="006248FE">
        <w:rPr>
          <w:rFonts w:ascii="Arial" w:hAnsi="Arial" w:cs="Arial"/>
          <w:sz w:val="24"/>
        </w:rPr>
        <w:t xml:space="preserve">by </w:t>
      </w:r>
      <w:r w:rsidRPr="006248FE">
        <w:rPr>
          <w:rFonts w:ascii="Arial" w:hAnsi="Arial" w:cs="Arial"/>
          <w:b/>
          <w:color w:val="C00000"/>
          <w:sz w:val="24"/>
        </w:rPr>
        <w:t>13</w:t>
      </w:r>
      <w:r w:rsidRPr="006248FE">
        <w:rPr>
          <w:rFonts w:ascii="Arial" w:hAnsi="Arial" w:cs="Arial"/>
          <w:b/>
          <w:color w:val="C00000"/>
          <w:sz w:val="24"/>
          <w:vertAlign w:val="superscript"/>
        </w:rPr>
        <w:t>th</w:t>
      </w:r>
      <w:r w:rsidRPr="006248FE">
        <w:rPr>
          <w:rFonts w:ascii="Arial" w:hAnsi="Arial" w:cs="Arial"/>
          <w:b/>
          <w:color w:val="C00000"/>
          <w:sz w:val="24"/>
        </w:rPr>
        <w:t xml:space="preserve"> May 2022</w:t>
      </w:r>
      <w:r w:rsidRPr="006248FE">
        <w:rPr>
          <w:rFonts w:ascii="Arial" w:hAnsi="Arial" w:cs="Arial"/>
          <w:sz w:val="24"/>
        </w:rPr>
        <w:t>.  You will have until 10</w:t>
      </w:r>
      <w:r w:rsidRPr="006248FE">
        <w:rPr>
          <w:rFonts w:ascii="Arial" w:hAnsi="Arial" w:cs="Arial"/>
          <w:sz w:val="24"/>
          <w:vertAlign w:val="superscript"/>
        </w:rPr>
        <w:t>th</w:t>
      </w:r>
      <w:r w:rsidRPr="006248FE">
        <w:rPr>
          <w:rFonts w:ascii="Arial" w:hAnsi="Arial" w:cs="Arial"/>
          <w:sz w:val="24"/>
        </w:rPr>
        <w:t xml:space="preserve"> June to refine the detail and firm up costs and submit a final PIP to Llewelyn.</w:t>
      </w:r>
    </w:p>
    <w:p w:rsidR="006248FE" w:rsidRPr="006248FE" w:rsidRDefault="006248FE" w:rsidP="006248FE">
      <w:pPr>
        <w:spacing w:after="0" w:line="240" w:lineRule="auto"/>
        <w:rPr>
          <w:rFonts w:ascii="Arial" w:hAnsi="Arial" w:cs="Arial"/>
          <w:sz w:val="24"/>
        </w:rPr>
      </w:pPr>
    </w:p>
    <w:p w:rsidR="006248FE" w:rsidRDefault="006248FE" w:rsidP="006248FE">
      <w:pPr>
        <w:spacing w:after="0" w:line="240" w:lineRule="auto"/>
        <w:rPr>
          <w:rFonts w:ascii="Arial" w:hAnsi="Arial" w:cs="Arial"/>
          <w:sz w:val="24"/>
        </w:rPr>
      </w:pPr>
      <w:r w:rsidRPr="006248FE">
        <w:rPr>
          <w:rFonts w:ascii="Arial" w:hAnsi="Arial" w:cs="Arial"/>
          <w:sz w:val="24"/>
        </w:rPr>
        <w:t xml:space="preserve">All proposals must identify how they align to </w:t>
      </w:r>
      <w:bookmarkStart w:id="0" w:name="_GoBack"/>
      <w:bookmarkEnd w:id="0"/>
      <w:r w:rsidRPr="006248FE">
        <w:rPr>
          <w:rFonts w:ascii="Arial" w:hAnsi="Arial" w:cs="Arial"/>
          <w:sz w:val="24"/>
        </w:rPr>
        <w:t xml:space="preserve">the </w:t>
      </w:r>
      <w:r w:rsidRPr="006248FE">
        <w:rPr>
          <w:rFonts w:ascii="Arial" w:hAnsi="Arial" w:cs="Arial"/>
          <w:b/>
          <w:bCs/>
          <w:sz w:val="24"/>
          <w:u w:val="single"/>
        </w:rPr>
        <w:t>six models of care</w:t>
      </w:r>
      <w:r w:rsidRPr="006248FE">
        <w:rPr>
          <w:rFonts w:ascii="Arial" w:hAnsi="Arial" w:cs="Arial"/>
          <w:sz w:val="24"/>
        </w:rPr>
        <w:t xml:space="preserve"> set out in the guidance (</w:t>
      </w:r>
      <w:r w:rsidRPr="006248FE">
        <w:rPr>
          <w:rFonts w:ascii="Arial" w:hAnsi="Arial" w:cs="Arial"/>
          <w:sz w:val="20"/>
        </w:rPr>
        <w:t>pages 16-19</w:t>
      </w:r>
      <w:r w:rsidRPr="006248FE">
        <w:rPr>
          <w:rFonts w:ascii="Arial" w:hAnsi="Arial" w:cs="Arial"/>
          <w:sz w:val="24"/>
        </w:rPr>
        <w:t xml:space="preserve">), and how they support the development of the </w:t>
      </w:r>
      <w:r w:rsidRPr="006248FE">
        <w:rPr>
          <w:rFonts w:ascii="Arial" w:hAnsi="Arial" w:cs="Arial"/>
          <w:b/>
          <w:sz w:val="24"/>
        </w:rPr>
        <w:t>ASIB priority areas</w:t>
      </w:r>
      <w:r>
        <w:rPr>
          <w:rFonts w:ascii="Arial" w:hAnsi="Arial" w:cs="Arial"/>
          <w:sz w:val="24"/>
        </w:rPr>
        <w:t xml:space="preserve"> within those models of care. </w:t>
      </w:r>
      <w:r w:rsidRPr="006248FE">
        <w:rPr>
          <w:rFonts w:ascii="Arial" w:hAnsi="Arial" w:cs="Arial"/>
          <w:sz w:val="24"/>
        </w:rPr>
        <w:t xml:space="preserve">See summary in table below.  </w:t>
      </w:r>
    </w:p>
    <w:p w:rsidR="00F257C1" w:rsidRDefault="00F257C1" w:rsidP="006248FE">
      <w:pPr>
        <w:spacing w:after="0" w:line="240" w:lineRule="auto"/>
        <w:rPr>
          <w:rFonts w:ascii="Arial" w:hAnsi="Arial" w:cs="Arial"/>
          <w:sz w:val="24"/>
        </w:rPr>
      </w:pPr>
    </w:p>
    <w:p w:rsidR="00F257C1" w:rsidRDefault="00F257C1" w:rsidP="006248FE">
      <w:pPr>
        <w:spacing w:after="0" w:line="240" w:lineRule="auto"/>
        <w:rPr>
          <w:rFonts w:ascii="Arial" w:hAnsi="Arial" w:cs="Arial"/>
          <w:sz w:val="24"/>
        </w:rPr>
      </w:pPr>
    </w:p>
    <w:p w:rsidR="00F257C1" w:rsidRDefault="00F257C1" w:rsidP="006248FE">
      <w:pPr>
        <w:spacing w:after="0" w:line="240" w:lineRule="auto"/>
        <w:rPr>
          <w:rFonts w:ascii="Arial" w:hAnsi="Arial" w:cs="Arial"/>
          <w:sz w:val="24"/>
        </w:rPr>
      </w:pPr>
    </w:p>
    <w:p w:rsidR="00F257C1" w:rsidRDefault="00F257C1" w:rsidP="006248FE">
      <w:pPr>
        <w:spacing w:after="0" w:line="240" w:lineRule="auto"/>
        <w:rPr>
          <w:rFonts w:ascii="Arial" w:hAnsi="Arial" w:cs="Arial"/>
          <w:sz w:val="24"/>
        </w:rPr>
      </w:pPr>
    </w:p>
    <w:p w:rsidR="00F257C1" w:rsidRDefault="00F257C1" w:rsidP="006248FE">
      <w:pPr>
        <w:spacing w:after="0" w:line="240" w:lineRule="auto"/>
        <w:rPr>
          <w:rFonts w:ascii="Arial" w:hAnsi="Arial" w:cs="Arial"/>
          <w:sz w:val="24"/>
        </w:rPr>
      </w:pPr>
    </w:p>
    <w:p w:rsidR="00F257C1" w:rsidRDefault="00F257C1" w:rsidP="006248FE">
      <w:pPr>
        <w:spacing w:after="0" w:line="240" w:lineRule="auto"/>
        <w:rPr>
          <w:rFonts w:ascii="Arial" w:hAnsi="Arial" w:cs="Arial"/>
          <w:sz w:val="24"/>
        </w:rPr>
      </w:pPr>
    </w:p>
    <w:p w:rsidR="00F257C1" w:rsidRDefault="00F257C1" w:rsidP="006248FE">
      <w:pPr>
        <w:spacing w:after="0" w:line="240" w:lineRule="auto"/>
        <w:rPr>
          <w:rFonts w:ascii="Arial" w:hAnsi="Arial" w:cs="Arial"/>
          <w:sz w:val="24"/>
        </w:rPr>
      </w:pPr>
    </w:p>
    <w:p w:rsidR="00F257C1" w:rsidRPr="006248FE" w:rsidRDefault="00F257C1" w:rsidP="006248FE">
      <w:pPr>
        <w:spacing w:after="0" w:line="240" w:lineRule="auto"/>
        <w:rPr>
          <w:rFonts w:ascii="Arial" w:hAnsi="Arial" w:cs="Arial"/>
          <w:sz w:val="24"/>
        </w:rPr>
      </w:pPr>
    </w:p>
    <w:p w:rsidR="006248FE" w:rsidRDefault="006248FE" w:rsidP="006248FE">
      <w:pPr>
        <w:spacing w:after="0" w:line="240" w:lineRule="auto"/>
        <w:rPr>
          <w:rFonts w:ascii="Arial" w:hAnsi="Arial" w:cs="Arial"/>
          <w:sz w:val="24"/>
        </w:rPr>
      </w:pPr>
    </w:p>
    <w:p w:rsidR="00F257C1" w:rsidRDefault="00F257C1" w:rsidP="006248FE">
      <w:pPr>
        <w:spacing w:after="0" w:line="240" w:lineRule="auto"/>
        <w:rPr>
          <w:rFonts w:ascii="Arial" w:hAnsi="Arial" w:cs="Arial"/>
          <w:sz w:val="24"/>
        </w:rPr>
      </w:pPr>
    </w:p>
    <w:p w:rsidR="00F257C1" w:rsidRPr="006248FE" w:rsidRDefault="00F257C1" w:rsidP="006248FE">
      <w:pPr>
        <w:spacing w:after="0" w:line="240" w:lineRule="auto"/>
        <w:rPr>
          <w:rFonts w:ascii="Arial" w:hAnsi="Arial" w:cs="Arial"/>
          <w:sz w:val="24"/>
        </w:rPr>
      </w:pPr>
    </w:p>
    <w:p w:rsidR="006248FE" w:rsidRPr="006248FE" w:rsidRDefault="006248FE" w:rsidP="006248FE">
      <w:pPr>
        <w:spacing w:after="0" w:line="240" w:lineRule="auto"/>
        <w:rPr>
          <w:rFonts w:ascii="Arial" w:hAnsi="Arial" w:cs="Arial"/>
        </w:rPr>
      </w:pPr>
    </w:p>
    <w:p w:rsidR="006248FE" w:rsidRPr="006248FE" w:rsidRDefault="006248FE" w:rsidP="006248FE">
      <w:pPr>
        <w:spacing w:after="0" w:line="240" w:lineRule="auto"/>
        <w:rPr>
          <w:rFonts w:ascii="Arial" w:hAnsi="Arial" w:cs="Arial"/>
        </w:rPr>
      </w:pPr>
    </w:p>
    <w:tbl>
      <w:tblPr>
        <w:tblStyle w:val="TableGrid"/>
        <w:tblW w:w="5000" w:type="pct"/>
        <w:tblLook w:val="04A0" w:firstRow="1" w:lastRow="0" w:firstColumn="1" w:lastColumn="0" w:noHBand="0" w:noVBand="1"/>
      </w:tblPr>
      <w:tblGrid>
        <w:gridCol w:w="2788"/>
        <w:gridCol w:w="3195"/>
        <w:gridCol w:w="3033"/>
      </w:tblGrid>
      <w:tr w:rsidR="006248FE" w:rsidRPr="006248FE" w:rsidTr="007834C8">
        <w:tc>
          <w:tcPr>
            <w:tcW w:w="1546" w:type="pct"/>
            <w:shd w:val="clear" w:color="auto" w:fill="1F3864" w:themeFill="accent5" w:themeFillShade="80"/>
          </w:tcPr>
          <w:p w:rsidR="006248FE" w:rsidRPr="006248FE" w:rsidRDefault="006248FE" w:rsidP="006248FE">
            <w:pPr>
              <w:rPr>
                <w:rFonts w:ascii="Arial" w:hAnsi="Arial" w:cs="Arial"/>
                <w:szCs w:val="20"/>
              </w:rPr>
            </w:pPr>
            <w:r w:rsidRPr="006248FE">
              <w:rPr>
                <w:rFonts w:ascii="Arial" w:hAnsi="Arial" w:cs="Arial"/>
                <w:szCs w:val="20"/>
              </w:rPr>
              <w:t>RIF Models of Care</w:t>
            </w:r>
          </w:p>
        </w:tc>
        <w:tc>
          <w:tcPr>
            <w:tcW w:w="1772" w:type="pct"/>
            <w:shd w:val="clear" w:color="auto" w:fill="1F3864" w:themeFill="accent5" w:themeFillShade="80"/>
          </w:tcPr>
          <w:p w:rsidR="006248FE" w:rsidRPr="006248FE" w:rsidRDefault="006248FE" w:rsidP="006248FE">
            <w:pPr>
              <w:rPr>
                <w:rFonts w:ascii="Arial" w:hAnsi="Arial" w:cs="Arial"/>
                <w:szCs w:val="20"/>
              </w:rPr>
            </w:pPr>
            <w:r w:rsidRPr="006248FE">
              <w:rPr>
                <w:rFonts w:ascii="Arial" w:hAnsi="Arial" w:cs="Arial"/>
                <w:szCs w:val="20"/>
              </w:rPr>
              <w:t>Area AISB Priority Areas</w:t>
            </w:r>
          </w:p>
        </w:tc>
        <w:tc>
          <w:tcPr>
            <w:tcW w:w="1682" w:type="pct"/>
            <w:shd w:val="clear" w:color="auto" w:fill="1F3864" w:themeFill="accent5" w:themeFillShade="80"/>
          </w:tcPr>
          <w:p w:rsidR="006248FE" w:rsidRPr="006248FE" w:rsidRDefault="006248FE" w:rsidP="006248FE">
            <w:pPr>
              <w:rPr>
                <w:rFonts w:ascii="Arial" w:hAnsi="Arial" w:cs="Arial"/>
                <w:szCs w:val="20"/>
              </w:rPr>
            </w:pPr>
            <w:r w:rsidRPr="006248FE">
              <w:rPr>
                <w:rFonts w:ascii="Arial" w:hAnsi="Arial" w:cs="Arial"/>
                <w:szCs w:val="20"/>
              </w:rPr>
              <w:t>Existing Projects rolled forward</w:t>
            </w:r>
          </w:p>
        </w:tc>
      </w:tr>
      <w:tr w:rsidR="006248FE" w:rsidRPr="006248FE" w:rsidTr="007834C8">
        <w:tc>
          <w:tcPr>
            <w:tcW w:w="1546" w:type="pct"/>
          </w:tcPr>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Community Based Care – Prevention and Community Coordination (page 16)</w:t>
            </w:r>
          </w:p>
          <w:p w:rsidR="006248FE" w:rsidRPr="006248FE" w:rsidRDefault="006248FE" w:rsidP="006248FE">
            <w:pPr>
              <w:ind w:left="468" w:hanging="219"/>
              <w:rPr>
                <w:rFonts w:ascii="Arial" w:hAnsi="Arial" w:cs="Arial"/>
                <w:sz w:val="20"/>
                <w:szCs w:val="20"/>
              </w:rPr>
            </w:pPr>
          </w:p>
        </w:tc>
        <w:tc>
          <w:tcPr>
            <w:tcW w:w="1772" w:type="pct"/>
          </w:tcPr>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Social Prescribing and Early Intervention</w:t>
            </w:r>
          </w:p>
        </w:tc>
        <w:tc>
          <w:tcPr>
            <w:tcW w:w="1682" w:type="pct"/>
          </w:tcPr>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SPOA</w:t>
            </w:r>
          </w:p>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Disability Family Support Worker</w:t>
            </w:r>
          </w:p>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Progression and Prevention / Transition</w:t>
            </w:r>
          </w:p>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Access to Services</w:t>
            </w:r>
          </w:p>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Third Sector Grant</w:t>
            </w:r>
          </w:p>
        </w:tc>
      </w:tr>
      <w:tr w:rsidR="006248FE" w:rsidRPr="006248FE" w:rsidTr="007834C8">
        <w:tc>
          <w:tcPr>
            <w:tcW w:w="1546" w:type="pct"/>
          </w:tcPr>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Community Based Care – Complex Care Closer to Home (page 17)</w:t>
            </w:r>
          </w:p>
          <w:p w:rsidR="006248FE" w:rsidRPr="006248FE" w:rsidRDefault="006248FE" w:rsidP="006248FE">
            <w:pPr>
              <w:ind w:left="468" w:hanging="219"/>
              <w:rPr>
                <w:rFonts w:ascii="Arial" w:hAnsi="Arial" w:cs="Arial"/>
                <w:sz w:val="20"/>
                <w:szCs w:val="20"/>
              </w:rPr>
            </w:pPr>
          </w:p>
        </w:tc>
        <w:tc>
          <w:tcPr>
            <w:tcW w:w="1772" w:type="pct"/>
          </w:tcPr>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Community Resource Teams</w:t>
            </w:r>
          </w:p>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Community Support And Engagement For People Living With Dementia And Carers</w:t>
            </w:r>
          </w:p>
        </w:tc>
        <w:tc>
          <w:tcPr>
            <w:tcW w:w="1682" w:type="pct"/>
          </w:tcPr>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CRTs</w:t>
            </w:r>
          </w:p>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Community Navigators</w:t>
            </w:r>
          </w:p>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Falls Prevention</w:t>
            </w:r>
          </w:p>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Supporting Carers</w:t>
            </w:r>
          </w:p>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Dementia Support Workers</w:t>
            </w:r>
          </w:p>
          <w:p w:rsidR="006248FE" w:rsidRPr="006248FE" w:rsidRDefault="006248FE" w:rsidP="006248FE">
            <w:pPr>
              <w:numPr>
                <w:ilvl w:val="0"/>
                <w:numId w:val="1"/>
              </w:numPr>
              <w:ind w:left="468"/>
              <w:rPr>
                <w:rFonts w:ascii="Arial" w:hAnsi="Arial" w:cs="Arial"/>
                <w:sz w:val="20"/>
                <w:szCs w:val="20"/>
              </w:rPr>
            </w:pPr>
            <w:proofErr w:type="spellStart"/>
            <w:r w:rsidRPr="006248FE">
              <w:rPr>
                <w:rFonts w:ascii="Arial" w:hAnsi="Arial" w:cs="Arial"/>
                <w:sz w:val="20"/>
                <w:szCs w:val="20"/>
              </w:rPr>
              <w:t>Llys</w:t>
            </w:r>
            <w:proofErr w:type="spellEnd"/>
            <w:r w:rsidRPr="006248FE">
              <w:rPr>
                <w:rFonts w:ascii="Arial" w:hAnsi="Arial" w:cs="Arial"/>
                <w:sz w:val="20"/>
                <w:szCs w:val="20"/>
              </w:rPr>
              <w:t xml:space="preserve"> Elian Dementia Support Team</w:t>
            </w:r>
          </w:p>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DVSC Dementia Friendly</w:t>
            </w:r>
          </w:p>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Dementia Connect Conwy</w:t>
            </w:r>
          </w:p>
        </w:tc>
      </w:tr>
      <w:tr w:rsidR="006248FE" w:rsidRPr="006248FE" w:rsidTr="007834C8">
        <w:tc>
          <w:tcPr>
            <w:tcW w:w="1546" w:type="pct"/>
          </w:tcPr>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Promoting Good Emotional Health and Wellbeing (page 17)</w:t>
            </w:r>
          </w:p>
          <w:p w:rsidR="006248FE" w:rsidRPr="006248FE" w:rsidRDefault="006248FE" w:rsidP="006248FE">
            <w:pPr>
              <w:ind w:left="468" w:hanging="219"/>
              <w:rPr>
                <w:rFonts w:ascii="Arial" w:hAnsi="Arial" w:cs="Arial"/>
                <w:sz w:val="20"/>
                <w:szCs w:val="20"/>
              </w:rPr>
            </w:pPr>
          </w:p>
        </w:tc>
        <w:tc>
          <w:tcPr>
            <w:tcW w:w="1772" w:type="pct"/>
          </w:tcPr>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Community Wellbeing</w:t>
            </w:r>
          </w:p>
        </w:tc>
        <w:tc>
          <w:tcPr>
            <w:tcW w:w="1682" w:type="pct"/>
          </w:tcPr>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Community Wellbeing</w:t>
            </w:r>
          </w:p>
        </w:tc>
      </w:tr>
      <w:tr w:rsidR="006248FE" w:rsidRPr="006248FE" w:rsidTr="007834C8">
        <w:tc>
          <w:tcPr>
            <w:tcW w:w="1546" w:type="pct"/>
          </w:tcPr>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Supporting Families to Stay Together Safely, and Therapeutic Support for Care Experienced Children (page 18)</w:t>
            </w:r>
          </w:p>
          <w:p w:rsidR="006248FE" w:rsidRPr="006248FE" w:rsidRDefault="006248FE" w:rsidP="006248FE">
            <w:pPr>
              <w:ind w:left="468"/>
              <w:rPr>
                <w:rFonts w:ascii="Arial" w:hAnsi="Arial" w:cs="Arial"/>
                <w:sz w:val="20"/>
                <w:szCs w:val="20"/>
              </w:rPr>
            </w:pPr>
          </w:p>
        </w:tc>
        <w:tc>
          <w:tcPr>
            <w:tcW w:w="1772" w:type="pct"/>
          </w:tcPr>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 xml:space="preserve">Early Intervention Services for Children </w:t>
            </w:r>
          </w:p>
        </w:tc>
        <w:tc>
          <w:tcPr>
            <w:tcW w:w="1682" w:type="pct"/>
          </w:tcPr>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Strengthening Families Service</w:t>
            </w:r>
          </w:p>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Step Up/Step Down (LD CCN)</w:t>
            </w:r>
          </w:p>
          <w:p w:rsidR="006248FE" w:rsidRPr="006248FE" w:rsidRDefault="006248FE" w:rsidP="006248FE">
            <w:pPr>
              <w:numPr>
                <w:ilvl w:val="0"/>
                <w:numId w:val="1"/>
              </w:numPr>
              <w:ind w:left="468"/>
              <w:rPr>
                <w:rFonts w:ascii="Arial" w:hAnsi="Arial" w:cs="Arial"/>
                <w:sz w:val="20"/>
                <w:szCs w:val="20"/>
              </w:rPr>
            </w:pPr>
            <w:proofErr w:type="spellStart"/>
            <w:r w:rsidRPr="006248FE">
              <w:rPr>
                <w:rFonts w:ascii="Arial" w:hAnsi="Arial" w:cs="Arial"/>
                <w:sz w:val="20"/>
                <w:szCs w:val="20"/>
              </w:rPr>
              <w:t>Bwthyn</w:t>
            </w:r>
            <w:proofErr w:type="spellEnd"/>
            <w:r w:rsidRPr="006248FE">
              <w:rPr>
                <w:rFonts w:ascii="Arial" w:hAnsi="Arial" w:cs="Arial"/>
                <w:sz w:val="20"/>
                <w:szCs w:val="20"/>
              </w:rPr>
              <w:t xml:space="preserve"> Y </w:t>
            </w:r>
            <w:proofErr w:type="spellStart"/>
            <w:r w:rsidRPr="006248FE">
              <w:rPr>
                <w:rFonts w:ascii="Arial" w:hAnsi="Arial" w:cs="Arial"/>
                <w:sz w:val="20"/>
                <w:szCs w:val="20"/>
              </w:rPr>
              <w:t>Ddol</w:t>
            </w:r>
            <w:proofErr w:type="spellEnd"/>
            <w:r w:rsidRPr="006248FE">
              <w:rPr>
                <w:rFonts w:ascii="Arial" w:hAnsi="Arial" w:cs="Arial"/>
                <w:sz w:val="20"/>
                <w:szCs w:val="20"/>
              </w:rPr>
              <w:t xml:space="preserve"> (Team and Residential)</w:t>
            </w:r>
          </w:p>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LIFT team</w:t>
            </w:r>
          </w:p>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Child Development Centres</w:t>
            </w:r>
          </w:p>
        </w:tc>
      </w:tr>
      <w:tr w:rsidR="006248FE" w:rsidRPr="006248FE" w:rsidTr="007834C8">
        <w:tc>
          <w:tcPr>
            <w:tcW w:w="1546" w:type="pct"/>
          </w:tcPr>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Homes from Hospital (page 18)</w:t>
            </w:r>
          </w:p>
          <w:p w:rsidR="006248FE" w:rsidRPr="006248FE" w:rsidRDefault="006248FE" w:rsidP="006248FE">
            <w:pPr>
              <w:ind w:left="468" w:hanging="219"/>
              <w:rPr>
                <w:rFonts w:ascii="Arial" w:hAnsi="Arial" w:cs="Arial"/>
                <w:sz w:val="20"/>
                <w:szCs w:val="20"/>
              </w:rPr>
            </w:pPr>
          </w:p>
        </w:tc>
        <w:tc>
          <w:tcPr>
            <w:tcW w:w="1772" w:type="pct"/>
          </w:tcPr>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Home Based Care for Recovery and Assessment (Discharge to Recover and Assess [D2RA 2])</w:t>
            </w:r>
          </w:p>
          <w:p w:rsidR="006248FE" w:rsidRPr="006248FE" w:rsidRDefault="006248FE" w:rsidP="006248FE">
            <w:pPr>
              <w:ind w:left="468" w:hanging="218"/>
              <w:rPr>
                <w:rFonts w:ascii="Arial" w:hAnsi="Arial" w:cs="Arial"/>
                <w:sz w:val="20"/>
                <w:szCs w:val="20"/>
              </w:rPr>
            </w:pPr>
          </w:p>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Intermediate Care for Recovery and Assessment (Discharge to Recover and Assess [D2RA 3])</w:t>
            </w:r>
          </w:p>
        </w:tc>
        <w:tc>
          <w:tcPr>
            <w:tcW w:w="1682" w:type="pct"/>
          </w:tcPr>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Discharge to Recover then Assess</w:t>
            </w:r>
          </w:p>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(Links to Colwyn Bay Integrated Health and Social Care development)</w:t>
            </w:r>
          </w:p>
          <w:p w:rsidR="006248FE" w:rsidRPr="006248FE" w:rsidRDefault="006248FE" w:rsidP="006248FE">
            <w:pPr>
              <w:ind w:left="468"/>
              <w:rPr>
                <w:rFonts w:ascii="Arial" w:hAnsi="Arial" w:cs="Arial"/>
                <w:sz w:val="20"/>
                <w:szCs w:val="20"/>
              </w:rPr>
            </w:pPr>
          </w:p>
          <w:p w:rsidR="006248FE" w:rsidRPr="006248FE" w:rsidRDefault="006248FE" w:rsidP="006248FE">
            <w:pPr>
              <w:ind w:left="468"/>
              <w:rPr>
                <w:rFonts w:ascii="Arial" w:hAnsi="Arial" w:cs="Arial"/>
                <w:sz w:val="20"/>
                <w:szCs w:val="20"/>
              </w:rPr>
            </w:pPr>
          </w:p>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Step Up/Step Down (Older people)</w:t>
            </w:r>
          </w:p>
        </w:tc>
      </w:tr>
      <w:tr w:rsidR="006248FE" w:rsidRPr="006248FE" w:rsidTr="007834C8">
        <w:tc>
          <w:tcPr>
            <w:tcW w:w="1546" w:type="pct"/>
          </w:tcPr>
          <w:p w:rsidR="006248FE" w:rsidRPr="006248FE" w:rsidRDefault="006248FE" w:rsidP="006248FE">
            <w:pPr>
              <w:numPr>
                <w:ilvl w:val="0"/>
                <w:numId w:val="1"/>
              </w:numPr>
              <w:ind w:left="468"/>
              <w:rPr>
                <w:rFonts w:ascii="Arial" w:hAnsi="Arial" w:cs="Arial"/>
                <w:sz w:val="20"/>
                <w:szCs w:val="20"/>
              </w:rPr>
            </w:pPr>
            <w:r w:rsidRPr="006248FE">
              <w:rPr>
                <w:rFonts w:ascii="Arial" w:hAnsi="Arial" w:cs="Arial"/>
                <w:sz w:val="20"/>
                <w:szCs w:val="20"/>
              </w:rPr>
              <w:t>Accommodation Based Solutions (page 19)</w:t>
            </w:r>
          </w:p>
          <w:p w:rsidR="006248FE" w:rsidRPr="006248FE" w:rsidRDefault="006248FE" w:rsidP="006248FE">
            <w:pPr>
              <w:ind w:left="468" w:hanging="219"/>
              <w:rPr>
                <w:rFonts w:ascii="Arial" w:hAnsi="Arial" w:cs="Arial"/>
                <w:sz w:val="20"/>
                <w:szCs w:val="20"/>
              </w:rPr>
            </w:pPr>
          </w:p>
        </w:tc>
        <w:tc>
          <w:tcPr>
            <w:tcW w:w="1772" w:type="pct"/>
          </w:tcPr>
          <w:p w:rsidR="006248FE" w:rsidRPr="006248FE" w:rsidRDefault="00451888" w:rsidP="00451888">
            <w:pPr>
              <w:numPr>
                <w:ilvl w:val="0"/>
                <w:numId w:val="1"/>
              </w:numPr>
              <w:ind w:left="468"/>
              <w:rPr>
                <w:rFonts w:ascii="Arial" w:hAnsi="Arial" w:cs="Arial"/>
                <w:sz w:val="20"/>
                <w:szCs w:val="20"/>
              </w:rPr>
            </w:pPr>
            <w:r>
              <w:rPr>
                <w:rFonts w:ascii="Arial" w:hAnsi="Arial" w:cs="Arial"/>
                <w:sz w:val="20"/>
                <w:szCs w:val="20"/>
              </w:rPr>
              <w:t>Domestic or residential care and support, and supporting independent living.</w:t>
            </w:r>
          </w:p>
        </w:tc>
        <w:tc>
          <w:tcPr>
            <w:tcW w:w="1682" w:type="pct"/>
          </w:tcPr>
          <w:p w:rsidR="006248FE" w:rsidRPr="006248FE" w:rsidRDefault="006248FE" w:rsidP="006248FE">
            <w:pPr>
              <w:numPr>
                <w:ilvl w:val="0"/>
                <w:numId w:val="1"/>
              </w:numPr>
              <w:ind w:left="468"/>
              <w:rPr>
                <w:rFonts w:ascii="Arial" w:hAnsi="Arial" w:cs="Arial"/>
                <w:i/>
                <w:sz w:val="20"/>
                <w:szCs w:val="20"/>
              </w:rPr>
            </w:pPr>
            <w:r w:rsidRPr="006248FE">
              <w:rPr>
                <w:rFonts w:ascii="Arial" w:hAnsi="Arial" w:cs="Arial"/>
                <w:i/>
                <w:sz w:val="20"/>
                <w:szCs w:val="20"/>
              </w:rPr>
              <w:t xml:space="preserve">Overlap with other projects set out above e.g. Step Up/Step Down, </w:t>
            </w:r>
            <w:proofErr w:type="spellStart"/>
            <w:r w:rsidRPr="006248FE">
              <w:rPr>
                <w:rFonts w:ascii="Arial" w:hAnsi="Arial" w:cs="Arial"/>
                <w:i/>
                <w:sz w:val="20"/>
                <w:szCs w:val="20"/>
              </w:rPr>
              <w:t>Bwthyn</w:t>
            </w:r>
            <w:proofErr w:type="spellEnd"/>
            <w:r w:rsidRPr="006248FE">
              <w:rPr>
                <w:rFonts w:ascii="Arial" w:hAnsi="Arial" w:cs="Arial"/>
                <w:i/>
                <w:sz w:val="20"/>
                <w:szCs w:val="20"/>
              </w:rPr>
              <w:t xml:space="preserve"> Y </w:t>
            </w:r>
            <w:proofErr w:type="spellStart"/>
            <w:r w:rsidRPr="006248FE">
              <w:rPr>
                <w:rFonts w:ascii="Arial" w:hAnsi="Arial" w:cs="Arial"/>
                <w:i/>
                <w:sz w:val="20"/>
                <w:szCs w:val="20"/>
              </w:rPr>
              <w:t>Ddol</w:t>
            </w:r>
            <w:proofErr w:type="spellEnd"/>
            <w:r w:rsidRPr="006248FE">
              <w:rPr>
                <w:rFonts w:ascii="Arial" w:hAnsi="Arial" w:cs="Arial"/>
                <w:i/>
                <w:sz w:val="20"/>
                <w:szCs w:val="20"/>
              </w:rPr>
              <w:t>, Colwyn Bay Integrated Health and Social Care development</w:t>
            </w:r>
          </w:p>
        </w:tc>
      </w:tr>
    </w:tbl>
    <w:p w:rsidR="006248FE" w:rsidRPr="006248FE" w:rsidRDefault="006248FE" w:rsidP="006248FE">
      <w:pPr>
        <w:spacing w:after="0" w:line="240" w:lineRule="auto"/>
        <w:rPr>
          <w:rFonts w:ascii="Arial" w:hAnsi="Arial" w:cs="Arial"/>
        </w:rPr>
      </w:pPr>
    </w:p>
    <w:p w:rsidR="006248FE" w:rsidRPr="006248FE" w:rsidRDefault="006248FE" w:rsidP="006248FE">
      <w:pPr>
        <w:spacing w:after="0" w:line="240" w:lineRule="auto"/>
        <w:rPr>
          <w:rFonts w:ascii="Arial" w:hAnsi="Arial" w:cs="Arial"/>
          <w:sz w:val="20"/>
          <w:szCs w:val="20"/>
        </w:rPr>
      </w:pPr>
      <w:r w:rsidRPr="006248FE">
        <w:rPr>
          <w:rFonts w:ascii="Arial" w:hAnsi="Arial" w:cs="Arial"/>
          <w:i/>
          <w:sz w:val="20"/>
          <w:szCs w:val="20"/>
        </w:rPr>
        <w:t xml:space="preserve">NB you can only select one ‘primary model of care’ however if the proposal spans more than one model of care, you can indicate this in the ‘Any additional Models of Care’ section on page 3).  </w:t>
      </w:r>
      <w:r w:rsidRPr="006248FE">
        <w:rPr>
          <w:rFonts w:ascii="Arial" w:hAnsi="Arial" w:cs="Arial"/>
          <w:sz w:val="20"/>
          <w:szCs w:val="20"/>
        </w:rPr>
        <w:t>AISB may amend the primary model of care to ensure alignment to programmes of work under the identified priorities.</w:t>
      </w:r>
    </w:p>
    <w:p w:rsidR="006248FE" w:rsidRPr="006248FE" w:rsidRDefault="006248FE" w:rsidP="006248FE">
      <w:pPr>
        <w:spacing w:after="0" w:line="240" w:lineRule="auto"/>
        <w:rPr>
          <w:rFonts w:ascii="Arial" w:hAnsi="Arial" w:cs="Arial"/>
          <w:i/>
        </w:rPr>
      </w:pPr>
    </w:p>
    <w:p w:rsidR="006248FE" w:rsidRPr="006248FE" w:rsidRDefault="006248FE" w:rsidP="006248FE">
      <w:pPr>
        <w:spacing w:after="0" w:line="240" w:lineRule="auto"/>
        <w:rPr>
          <w:rFonts w:ascii="Arial" w:hAnsi="Arial" w:cs="Arial"/>
        </w:rPr>
      </w:pPr>
    </w:p>
    <w:p w:rsidR="00F257C1" w:rsidRDefault="00F257C1" w:rsidP="006248FE">
      <w:pPr>
        <w:spacing w:after="0" w:line="240" w:lineRule="auto"/>
        <w:rPr>
          <w:rFonts w:ascii="Arial" w:hAnsi="Arial" w:cs="Arial"/>
          <w:b/>
          <w:color w:val="000000"/>
        </w:rPr>
      </w:pPr>
    </w:p>
    <w:p w:rsidR="006248FE" w:rsidRPr="006248FE" w:rsidRDefault="006248FE" w:rsidP="006248FE">
      <w:pPr>
        <w:spacing w:after="0" w:line="240" w:lineRule="auto"/>
        <w:rPr>
          <w:rFonts w:ascii="Arial" w:hAnsi="Arial" w:cs="Arial"/>
          <w:b/>
          <w:color w:val="000000"/>
        </w:rPr>
      </w:pPr>
      <w:r w:rsidRPr="006248FE">
        <w:rPr>
          <w:rFonts w:ascii="Arial" w:hAnsi="Arial" w:cs="Arial"/>
          <w:b/>
          <w:color w:val="000000"/>
        </w:rPr>
        <w:t>Timeline:</w:t>
      </w:r>
    </w:p>
    <w:p w:rsidR="006248FE" w:rsidRPr="006248FE" w:rsidRDefault="006248FE" w:rsidP="006248FE">
      <w:pPr>
        <w:spacing w:after="0" w:line="240" w:lineRule="auto"/>
        <w:rPr>
          <w:rFonts w:ascii="Arial" w:hAnsi="Arial" w:cs="Arial"/>
        </w:rPr>
      </w:pPr>
    </w:p>
    <w:p w:rsidR="006248FE" w:rsidRPr="006248FE" w:rsidRDefault="006248FE" w:rsidP="006248FE">
      <w:pPr>
        <w:spacing w:after="0" w:line="240" w:lineRule="auto"/>
        <w:rPr>
          <w:rFonts w:ascii="Arial" w:hAnsi="Arial" w:cs="Arial"/>
        </w:rPr>
      </w:pPr>
      <w:r w:rsidRPr="006248FE">
        <w:rPr>
          <w:rFonts w:ascii="Arial" w:hAnsi="Arial" w:cs="Arial"/>
        </w:rPr>
        <w:t>The timescales for submissions and approvals are set out below.</w:t>
      </w:r>
    </w:p>
    <w:p w:rsidR="006248FE" w:rsidRPr="006248FE" w:rsidRDefault="006248FE" w:rsidP="006248FE">
      <w:pPr>
        <w:spacing w:after="0" w:line="240" w:lineRule="auto"/>
        <w:rPr>
          <w:rFonts w:ascii="Arial" w:hAnsi="Arial" w:cs="Arial"/>
        </w:rPr>
      </w:pPr>
      <w:r w:rsidRPr="006248FE">
        <w:rPr>
          <w:rFonts w:ascii="Arial" w:hAnsi="Arial" w:cs="Arial"/>
          <w:noProof/>
          <w:lang w:eastAsia="en-GB"/>
        </w:rPr>
        <w:drawing>
          <wp:anchor distT="0" distB="0" distL="114300" distR="114300" simplePos="0" relativeHeight="251659264" behindDoc="0" locked="0" layoutInCell="1" allowOverlap="1" wp14:anchorId="37989C1A" wp14:editId="74A96BF5">
            <wp:simplePos x="0" y="0"/>
            <wp:positionH relativeFrom="column">
              <wp:posOffset>-361950</wp:posOffset>
            </wp:positionH>
            <wp:positionV relativeFrom="paragraph">
              <wp:posOffset>193675</wp:posOffset>
            </wp:positionV>
            <wp:extent cx="6724650" cy="3489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24650" cy="3489960"/>
                    </a:xfrm>
                    <a:prstGeom prst="rect">
                      <a:avLst/>
                    </a:prstGeom>
                  </pic:spPr>
                </pic:pic>
              </a:graphicData>
            </a:graphic>
            <wp14:sizeRelH relativeFrom="margin">
              <wp14:pctWidth>0</wp14:pctWidth>
            </wp14:sizeRelH>
            <wp14:sizeRelV relativeFrom="margin">
              <wp14:pctHeight>0</wp14:pctHeight>
            </wp14:sizeRelV>
          </wp:anchor>
        </w:drawing>
      </w:r>
    </w:p>
    <w:p w:rsidR="006248FE" w:rsidRPr="006248FE" w:rsidRDefault="006248FE" w:rsidP="006248FE">
      <w:pPr>
        <w:spacing w:after="0" w:line="240" w:lineRule="auto"/>
        <w:rPr>
          <w:rFonts w:ascii="Arial" w:hAnsi="Arial" w:cs="Arial"/>
        </w:rPr>
      </w:pPr>
    </w:p>
    <w:p w:rsidR="00B857F1" w:rsidRDefault="006248FE" w:rsidP="006248FE">
      <w:r w:rsidRPr="006248FE">
        <w:rPr>
          <w:rFonts w:ascii="Arial" w:hAnsi="Arial" w:cs="Arial"/>
        </w:rPr>
        <w:t xml:space="preserve">Please direct any questions to Llewelyn Davies at </w:t>
      </w:r>
      <w:hyperlink r:id="rId9" w:history="1">
        <w:r w:rsidR="00D624BA" w:rsidRPr="001B3321">
          <w:rPr>
            <w:rStyle w:val="Hyperlink"/>
            <w:rFonts w:ascii="Arial" w:hAnsi="Arial" w:cs="Arial"/>
          </w:rPr>
          <w:t>Llewelyn.Davies2@wales.nhs.uk</w:t>
        </w:r>
      </w:hyperlink>
      <w:r w:rsidR="00D624BA">
        <w:rPr>
          <w:rFonts w:ascii="Arial" w:hAnsi="Arial" w:cs="Arial"/>
        </w:rPr>
        <w:t>.</w:t>
      </w:r>
    </w:p>
    <w:sectPr w:rsidR="00B857F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B2A" w:rsidRDefault="00D02B2A" w:rsidP="006248FE">
      <w:pPr>
        <w:spacing w:after="0" w:line="240" w:lineRule="auto"/>
      </w:pPr>
      <w:r>
        <w:separator/>
      </w:r>
    </w:p>
  </w:endnote>
  <w:endnote w:type="continuationSeparator" w:id="0">
    <w:p w:rsidR="00D02B2A" w:rsidRDefault="00D02B2A" w:rsidP="0062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08562"/>
      <w:docPartObj>
        <w:docPartGallery w:val="Page Numbers (Bottom of Page)"/>
        <w:docPartUnique/>
      </w:docPartObj>
    </w:sdtPr>
    <w:sdtEndPr>
      <w:rPr>
        <w:noProof/>
      </w:rPr>
    </w:sdtEndPr>
    <w:sdtContent>
      <w:p w:rsidR="00F257C1" w:rsidRDefault="00F257C1">
        <w:pPr>
          <w:pStyle w:val="Footer"/>
          <w:jc w:val="right"/>
        </w:pPr>
        <w:r>
          <w:fldChar w:fldCharType="begin"/>
        </w:r>
        <w:r>
          <w:instrText xml:space="preserve"> PAGE   \* MERGEFORMAT </w:instrText>
        </w:r>
        <w:r>
          <w:fldChar w:fldCharType="separate"/>
        </w:r>
        <w:r w:rsidR="00552B59">
          <w:rPr>
            <w:noProof/>
          </w:rPr>
          <w:t>2</w:t>
        </w:r>
        <w:r>
          <w:rPr>
            <w:noProof/>
          </w:rPr>
          <w:fldChar w:fldCharType="end"/>
        </w:r>
      </w:p>
    </w:sdtContent>
  </w:sdt>
  <w:p w:rsidR="00F257C1" w:rsidRDefault="00F25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B2A" w:rsidRDefault="00D02B2A" w:rsidP="006248FE">
      <w:pPr>
        <w:spacing w:after="0" w:line="240" w:lineRule="auto"/>
      </w:pPr>
      <w:r>
        <w:separator/>
      </w:r>
    </w:p>
  </w:footnote>
  <w:footnote w:type="continuationSeparator" w:id="0">
    <w:p w:rsidR="00D02B2A" w:rsidRDefault="00D02B2A" w:rsidP="006248FE">
      <w:pPr>
        <w:spacing w:after="0" w:line="240" w:lineRule="auto"/>
      </w:pPr>
      <w:r>
        <w:continuationSeparator/>
      </w:r>
    </w:p>
  </w:footnote>
  <w:footnote w:id="1">
    <w:p w:rsidR="006248FE" w:rsidRPr="00E021B2" w:rsidRDefault="006248FE" w:rsidP="006248FE">
      <w:pPr>
        <w:rPr>
          <w:rFonts w:cstheme="minorHAnsi"/>
          <w:color w:val="000000"/>
          <w:sz w:val="20"/>
          <w:szCs w:val="20"/>
        </w:rPr>
      </w:pPr>
      <w:r>
        <w:rPr>
          <w:rStyle w:val="FootnoteReference"/>
        </w:rPr>
        <w:footnoteRef/>
      </w:r>
      <w:r>
        <w:t xml:space="preserve"> </w:t>
      </w:r>
      <w:r w:rsidRPr="00E021B2">
        <w:rPr>
          <w:rFonts w:cstheme="minorHAnsi"/>
          <w:bCs/>
          <w:color w:val="000000"/>
          <w:sz w:val="20"/>
          <w:szCs w:val="20"/>
        </w:rPr>
        <w:t xml:space="preserve">RIF Match Funding Model: There are 4 categories of match funding (National, Acceleration, Embedding, and Core) requiring different levels of % contribution.  See pages 30-32 of the Guidance: </w:t>
      </w:r>
    </w:p>
    <w:p w:rsidR="006248FE" w:rsidRPr="00E021B2" w:rsidRDefault="006248FE" w:rsidP="006248F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79" w:rsidRDefault="007E5C79">
    <w:pPr>
      <w:pStyle w:val="Header"/>
    </w:pPr>
  </w:p>
  <w:p w:rsidR="007E5C79" w:rsidRDefault="007E5C79">
    <w:pPr>
      <w:pStyle w:val="Header"/>
    </w:pPr>
    <w:r>
      <w:rPr>
        <w:noProof/>
        <w:lang w:eastAsia="en-GB"/>
      </w:rPr>
      <w:drawing>
        <wp:inline distT="0" distB="0" distL="0" distR="0" wp14:anchorId="19573C75">
          <wp:extent cx="5730875" cy="6769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6567A"/>
    <w:multiLevelType w:val="hybridMultilevel"/>
    <w:tmpl w:val="ACC6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FE"/>
    <w:rsid w:val="00451888"/>
    <w:rsid w:val="00552B59"/>
    <w:rsid w:val="006248FE"/>
    <w:rsid w:val="007E5C79"/>
    <w:rsid w:val="008702A7"/>
    <w:rsid w:val="00B857F1"/>
    <w:rsid w:val="00D02B2A"/>
    <w:rsid w:val="00D624BA"/>
    <w:rsid w:val="00E63F78"/>
    <w:rsid w:val="00E86972"/>
    <w:rsid w:val="00F257C1"/>
    <w:rsid w:val="00FC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6EB66"/>
  <w15:chartTrackingRefBased/>
  <w15:docId w15:val="{6BD48645-8619-4623-AAC3-C25D2B47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248F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6248FE"/>
    <w:rPr>
      <w:rFonts w:ascii="Calibri" w:hAnsi="Calibri" w:cs="Calibri"/>
      <w:sz w:val="20"/>
      <w:szCs w:val="20"/>
    </w:rPr>
  </w:style>
  <w:style w:type="character" w:styleId="FootnoteReference">
    <w:name w:val="footnote reference"/>
    <w:basedOn w:val="DefaultParagraphFont"/>
    <w:uiPriority w:val="99"/>
    <w:semiHidden/>
    <w:unhideWhenUsed/>
    <w:rsid w:val="006248FE"/>
    <w:rPr>
      <w:vertAlign w:val="superscript"/>
    </w:rPr>
  </w:style>
  <w:style w:type="character" w:styleId="Hyperlink">
    <w:name w:val="Hyperlink"/>
    <w:basedOn w:val="DefaultParagraphFont"/>
    <w:uiPriority w:val="99"/>
    <w:unhideWhenUsed/>
    <w:rsid w:val="006248FE"/>
    <w:rPr>
      <w:color w:val="0563C1" w:themeColor="hyperlink"/>
      <w:u w:val="single"/>
    </w:rPr>
  </w:style>
  <w:style w:type="paragraph" w:styleId="Header">
    <w:name w:val="header"/>
    <w:basedOn w:val="Normal"/>
    <w:link w:val="HeaderChar"/>
    <w:uiPriority w:val="99"/>
    <w:unhideWhenUsed/>
    <w:rsid w:val="007E5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C79"/>
  </w:style>
  <w:style w:type="paragraph" w:styleId="Footer">
    <w:name w:val="footer"/>
    <w:basedOn w:val="Normal"/>
    <w:link w:val="FooterChar"/>
    <w:uiPriority w:val="99"/>
    <w:unhideWhenUsed/>
    <w:rsid w:val="007E5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lewelyn.Davies2@wales.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lewelyn.Davies2@wale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Llewelyn Davies (BCUHB - Corporate Office)</dc:creator>
  <cp:keywords/>
  <dc:description/>
  <cp:lastModifiedBy>Llewelyn Davies (BCUHB - Corporate Office)</cp:lastModifiedBy>
  <cp:revision>9</cp:revision>
  <dcterms:created xsi:type="dcterms:W3CDTF">2022-04-10T19:25:00Z</dcterms:created>
  <dcterms:modified xsi:type="dcterms:W3CDTF">2022-04-11T07:43:00Z</dcterms:modified>
</cp:coreProperties>
</file>